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D1" w:rsidRDefault="00013D7D">
      <w:pPr>
        <w:shd w:val="clear" w:color="auto" w:fill="FFFFFF"/>
        <w:spacing w:after="200"/>
        <w:ind w:hanging="851"/>
        <w:jc w:val="center"/>
        <w:rPr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  <w:highlight w:val="lightGray"/>
          <w:rtl/>
        </w:rPr>
        <w:t>وصف مقرر مادة العيادة القانونية – المرحلة الرابعة</w:t>
      </w:r>
    </w:p>
    <w:tbl>
      <w:tblPr>
        <w:tblStyle w:val="a5"/>
        <w:bidiVisual/>
        <w:tblW w:w="99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63"/>
        <w:gridCol w:w="8534"/>
      </w:tblGrid>
      <w:tr w:rsidR="003D33D1" w:rsidTr="008F335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المقرر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</w:tcPr>
          <w:p w:rsidR="003D33D1" w:rsidRDefault="00013D7D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العيادة القانونية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رمز المقرر</w:t>
            </w:r>
            <w:r w:rsidR="008F3350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F3350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 PU 2</w:t>
            </w:r>
            <w:r w:rsidR="008F3350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8F3350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</w:t>
            </w:r>
            <w:r w:rsidR="008F3350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/2</w:t>
            </w:r>
            <w:r w:rsidR="008F3350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G</w:t>
            </w:r>
            <w:r w:rsidR="008F3350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-- </w:t>
            </w:r>
            <w:r w:rsidR="008F3350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1G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</w:tcPr>
          <w:p w:rsidR="003D33D1" w:rsidRDefault="00013D7D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المرحلة الرابعة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الفصل 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>السنة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</w:tcPr>
          <w:p w:rsidR="003D33D1" w:rsidRDefault="00013D7D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الفصل الثاني للسنة الدراسية  </w:t>
            </w:r>
            <w:r>
              <w:rPr>
                <w:sz w:val="28"/>
                <w:szCs w:val="28"/>
                <w:rtl/>
              </w:rPr>
              <w:t>2023- 2024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تاريخ اعداد هذا الوصف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</w:tcPr>
          <w:p w:rsidR="003D33D1" w:rsidRDefault="00013D7D">
            <w:pPr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4/4/2024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اشكال الحضور المتاحة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</w:tcPr>
          <w:p w:rsidR="003D33D1" w:rsidRDefault="00013D7D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حضوري اسبوعي </w:t>
            </w:r>
            <w:r>
              <w:rPr>
                <w:sz w:val="28"/>
                <w:szCs w:val="28"/>
                <w:rtl/>
              </w:rPr>
              <w:t xml:space="preserve">(1) </w:t>
            </w:r>
            <w:r>
              <w:rPr>
                <w:rFonts w:cs="Times New Roman"/>
                <w:sz w:val="28"/>
                <w:szCs w:val="28"/>
                <w:rtl/>
              </w:rPr>
              <w:t>ساعة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عدد الساعات</w:t>
            </w:r>
            <w:r>
              <w:rPr>
                <w:rFonts w:cs="Times New Roman"/>
                <w:sz w:val="28"/>
                <w:szCs w:val="28"/>
                <w:rtl/>
              </w:rPr>
              <w:t xml:space="preserve"> الدراسية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 w:rsidR="008F3350">
              <w:rPr>
                <w:rFonts w:hint="cs"/>
                <w:sz w:val="28"/>
                <w:szCs w:val="28"/>
                <w:rtl/>
              </w:rPr>
              <w:t>30</w:t>
            </w:r>
            <w:r>
              <w:rPr>
                <w:sz w:val="28"/>
                <w:szCs w:val="28"/>
                <w:rtl/>
              </w:rPr>
              <w:t xml:space="preserve">) / </w:t>
            </w:r>
            <w:r>
              <w:rPr>
                <w:rFonts w:cs="Times New Roman"/>
                <w:sz w:val="28"/>
                <w:szCs w:val="28"/>
                <w:rtl/>
              </w:rPr>
              <w:t xml:space="preserve">عدد الوحدات </w:t>
            </w:r>
            <w:r>
              <w:rPr>
                <w:sz w:val="28"/>
                <w:szCs w:val="28"/>
                <w:rtl/>
              </w:rPr>
              <w:t>(</w:t>
            </w:r>
            <w:r>
              <w:rPr>
                <w:rFonts w:cs="Times New Roman"/>
                <w:sz w:val="28"/>
                <w:szCs w:val="28"/>
                <w:rtl/>
              </w:rPr>
              <w:t>الكلي</w:t>
            </w:r>
            <w:r w:rsidR="008F3350">
              <w:rPr>
                <w:rFonts w:hint="cs"/>
                <w:sz w:val="28"/>
                <w:szCs w:val="28"/>
                <w:rtl/>
              </w:rPr>
              <w:t>1</w:t>
            </w:r>
            <w:bookmarkStart w:id="1" w:name="_GoBack"/>
            <w:bookmarkEnd w:id="1"/>
            <w:r>
              <w:rPr>
                <w:sz w:val="28"/>
                <w:szCs w:val="28"/>
                <w:rtl/>
              </w:rPr>
              <w:t>)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</w:tcPr>
          <w:p w:rsidR="003D33D1" w:rsidRDefault="00013D7D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15/ 1</w:t>
            </w:r>
            <w:r>
              <w:rPr>
                <w:rFonts w:cs="Times New Roman"/>
                <w:sz w:val="28"/>
                <w:szCs w:val="28"/>
                <w:rtl/>
              </w:rPr>
              <w:t xml:space="preserve">وحدة اسبوعياً في </w:t>
            </w:r>
            <w:r>
              <w:rPr>
                <w:sz w:val="28"/>
                <w:szCs w:val="28"/>
                <w:rtl/>
              </w:rPr>
              <w:t xml:space="preserve">15 </w:t>
            </w:r>
            <w:r>
              <w:rPr>
                <w:rFonts w:cs="Times New Roman"/>
                <w:sz w:val="28"/>
                <w:szCs w:val="28"/>
                <w:rtl/>
              </w:rPr>
              <w:t xml:space="preserve">أسبوع 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</w:tcPr>
          <w:p w:rsidR="003D33D1" w:rsidRDefault="00013D7D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 xml:space="preserve">. </w:t>
            </w:r>
            <w:r>
              <w:rPr>
                <w:rFonts w:cs="Times New Roman"/>
                <w:sz w:val="28"/>
                <w:szCs w:val="28"/>
                <w:rtl/>
              </w:rPr>
              <w:t>اديب محمد جاسم الحماوي                                 الايميل</w:t>
            </w:r>
            <w:r>
              <w:rPr>
                <w:sz w:val="28"/>
                <w:szCs w:val="28"/>
                <w:rtl/>
              </w:rPr>
              <w:t xml:space="preserve">:  </w:t>
            </w:r>
            <w:r>
              <w:rPr>
                <w:b/>
                <w:sz w:val="28"/>
                <w:szCs w:val="28"/>
              </w:rPr>
              <w:t>adeebmooo@gmail.com</w:t>
            </w:r>
          </w:p>
        </w:tc>
      </w:tr>
      <w:tr w:rsidR="003D33D1" w:rsidTr="008F335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اهداف المقرر</w:t>
            </w:r>
          </w:p>
        </w:tc>
      </w:tr>
      <w:tr w:rsidR="003D33D1" w:rsidTr="008F3350">
        <w:trPr>
          <w:jc w:val="center"/>
        </w:trPr>
        <w:tc>
          <w:tcPr>
            <w:tcW w:w="1377" w:type="dxa"/>
          </w:tcPr>
          <w:p w:rsidR="003D33D1" w:rsidRDefault="003D33D1">
            <w:pPr>
              <w:shd w:val="clear" w:color="auto" w:fill="FFFFFF"/>
              <w:ind w:right="-426" w:hanging="2"/>
              <w:jc w:val="both"/>
            </w:pPr>
          </w:p>
          <w:p w:rsidR="003D33D1" w:rsidRDefault="003D33D1">
            <w:pPr>
              <w:shd w:val="clear" w:color="auto" w:fill="FFFFFF"/>
              <w:ind w:right="-426" w:hanging="2"/>
              <w:jc w:val="both"/>
            </w:pPr>
          </w:p>
          <w:p w:rsidR="003D33D1" w:rsidRDefault="003D33D1">
            <w:pPr>
              <w:shd w:val="clear" w:color="auto" w:fill="FFFFFF"/>
              <w:ind w:right="-426" w:hanging="2"/>
              <w:jc w:val="both"/>
            </w:pPr>
          </w:p>
          <w:p w:rsidR="008F3350" w:rsidRDefault="00013D7D">
            <w:pPr>
              <w:shd w:val="clear" w:color="auto" w:fill="FFFFFF"/>
              <w:ind w:right="-426" w:firstLine="0"/>
              <w:jc w:val="center"/>
              <w:rPr>
                <w:rFonts w:cs="Times New Roman" w:hint="cs"/>
                <w:rtl/>
              </w:rPr>
            </w:pPr>
            <w:r>
              <w:rPr>
                <w:rFonts w:cs="Times New Roman"/>
                <w:rtl/>
              </w:rPr>
              <w:t>اهداف المادة</w:t>
            </w:r>
          </w:p>
          <w:p w:rsidR="003D33D1" w:rsidRDefault="00013D7D">
            <w:pPr>
              <w:shd w:val="clear" w:color="auto" w:fill="FFFFFF"/>
              <w:ind w:right="-426" w:firstLine="0"/>
              <w:jc w:val="center"/>
            </w:pPr>
            <w:r>
              <w:rPr>
                <w:rFonts w:cs="Times New Roman"/>
                <w:rtl/>
              </w:rPr>
              <w:t xml:space="preserve"> الدراسية</w:t>
            </w:r>
          </w:p>
        </w:tc>
        <w:tc>
          <w:tcPr>
            <w:tcW w:w="8597" w:type="dxa"/>
            <w:gridSpan w:val="2"/>
          </w:tcPr>
          <w:p w:rsidR="003D33D1" w:rsidRDefault="00013D7D">
            <w:pPr>
              <w:shd w:val="clear" w:color="auto" w:fill="FFFFFF"/>
              <w:ind w:left="1"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اكساب الطلبة المعرفة الحديثة</w:t>
            </w:r>
            <w:r>
              <w:rPr>
                <w:rFonts w:cs="Times New Roman"/>
                <w:sz w:val="28"/>
                <w:szCs w:val="28"/>
                <w:rtl/>
              </w:rPr>
              <w:t xml:space="preserve"> في مفاهيم مادة العيادة القانونية والتي ترتكز على تدريس الطلبة المادة اعلاه على اساس الجانب العملي ممزوجة بالجانب النظري الامر الذي سياهم في اعداد خريجين مؤهلين ومزودين</w:t>
            </w:r>
          </w:p>
          <w:p w:rsidR="003D33D1" w:rsidRDefault="00013D7D">
            <w:pPr>
              <w:shd w:val="clear" w:color="auto" w:fill="FFFFFF"/>
              <w:ind w:left="1"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بالمهارات العملية اللازمة في اقامة الدعاوى</w:t>
            </w:r>
          </w:p>
        </w:tc>
      </w:tr>
      <w:tr w:rsidR="003D33D1" w:rsidTr="008F3350">
        <w:trPr>
          <w:trHeight w:val="800"/>
          <w:jc w:val="center"/>
        </w:trPr>
        <w:tc>
          <w:tcPr>
            <w:tcW w:w="9974" w:type="dxa"/>
            <w:gridSpan w:val="3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3D33D1" w:rsidTr="008F3350">
        <w:trPr>
          <w:trHeight w:val="1315"/>
          <w:jc w:val="center"/>
        </w:trPr>
        <w:tc>
          <w:tcPr>
            <w:tcW w:w="1440" w:type="dxa"/>
            <w:gridSpan w:val="2"/>
          </w:tcPr>
          <w:p w:rsidR="003D33D1" w:rsidRDefault="003D33D1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:rsidR="003D33D1" w:rsidRDefault="003D33D1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</w:p>
          <w:p w:rsidR="003D33D1" w:rsidRDefault="00013D7D">
            <w:pPr>
              <w:shd w:val="clear" w:color="auto" w:fill="FFFFFF"/>
              <w:ind w:left="1" w:right="-426" w:hanging="3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</w:tcPr>
          <w:p w:rsidR="003D33D1" w:rsidRDefault="003D3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color w:val="121212"/>
                <w:sz w:val="27"/>
                <w:szCs w:val="27"/>
              </w:rPr>
            </w:pPr>
          </w:p>
          <w:p w:rsidR="003D33D1" w:rsidRDefault="0001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:rsidR="003D33D1" w:rsidRDefault="0001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استراتيجية التعلم العملي</w:t>
            </w:r>
          </w:p>
          <w:p w:rsidR="003D33D1" w:rsidRDefault="0001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استراتيجية المناقشة</w:t>
            </w:r>
          </w:p>
          <w:p w:rsidR="003D33D1" w:rsidRDefault="003D3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</w:p>
        </w:tc>
      </w:tr>
    </w:tbl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>
      <w:pPr>
        <w:rPr>
          <w:rFonts w:hint="cs"/>
          <w:rtl/>
        </w:rPr>
      </w:pPr>
    </w:p>
    <w:p w:rsidR="008F3350" w:rsidRDefault="008F3350"/>
    <w:tbl>
      <w:tblPr>
        <w:tblStyle w:val="a5"/>
        <w:bidiVisual/>
        <w:tblW w:w="107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10"/>
        <w:gridCol w:w="1017"/>
        <w:gridCol w:w="2268"/>
        <w:gridCol w:w="1560"/>
        <w:gridCol w:w="3878"/>
      </w:tblGrid>
      <w:tr w:rsidR="003D33D1" w:rsidTr="008F3350">
        <w:trPr>
          <w:trHeight w:val="557"/>
          <w:jc w:val="center"/>
        </w:trPr>
        <w:tc>
          <w:tcPr>
            <w:tcW w:w="10733" w:type="dxa"/>
            <w:gridSpan w:val="6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lastRenderedPageBreak/>
              <w:t>بنية المقرر</w:t>
            </w:r>
          </w:p>
        </w:tc>
      </w:tr>
      <w:tr w:rsidR="003D33D1" w:rsidTr="008F3350">
        <w:trPr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:rsidR="003D33D1" w:rsidRDefault="00013D7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shd w:val="clear" w:color="auto" w:fill="BDD6EE"/>
            <w:vAlign w:val="center"/>
          </w:tcPr>
          <w:p w:rsidR="003D33D1" w:rsidRDefault="00013D7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الساعات</w:t>
            </w:r>
          </w:p>
        </w:tc>
        <w:tc>
          <w:tcPr>
            <w:tcW w:w="1017" w:type="dxa"/>
            <w:shd w:val="clear" w:color="auto" w:fill="BDD6EE"/>
            <w:vAlign w:val="center"/>
          </w:tcPr>
          <w:p w:rsidR="003D33D1" w:rsidRDefault="00013D7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3D33D1" w:rsidRDefault="00013D7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560" w:type="dxa"/>
            <w:shd w:val="clear" w:color="auto" w:fill="BDD6EE"/>
            <w:vAlign w:val="center"/>
          </w:tcPr>
          <w:p w:rsidR="003D33D1" w:rsidRDefault="00013D7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3878" w:type="dxa"/>
            <w:shd w:val="clear" w:color="auto" w:fill="BDD6EE"/>
            <w:vAlign w:val="center"/>
          </w:tcPr>
          <w:p w:rsidR="003D33D1" w:rsidRDefault="00013D7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طريقة التقييم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مفهوم العيادة القانونية واهدافها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اعادة طرح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 والعملية</w:t>
            </w:r>
            <w: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التطور القانوني للعيادة القانونية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 والعملية</w:t>
            </w:r>
            <w: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اسس برنامج العيادة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القانونية</w:t>
            </w:r>
            <w:r>
              <w:rPr>
                <w:rFonts w:cs="Times New Roman"/>
                <w:sz w:val="28"/>
                <w:szCs w:val="28"/>
                <w:rtl/>
              </w:rPr>
              <w:t xml:space="preserve"> ووحداتها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والعملية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الفئات المستهدفة من خدمات العيادة القانونية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الاختبارات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الشفوية والتحريرية والعملية</w:t>
            </w:r>
            <w: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انواع العيادات القانونية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 والعملية</w:t>
            </w:r>
            <w: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العيادات القانونية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 بالبلاد العربية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اعادة طرح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والعملية</w:t>
            </w:r>
            <w: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نماذج عملية للعيادة القانونية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 والعملية</w:t>
            </w:r>
            <w:r>
              <w:t>.</w:t>
            </w:r>
          </w:p>
        </w:tc>
      </w:tr>
      <w:tr w:rsidR="003D33D1" w:rsidTr="008F3350">
        <w:trPr>
          <w:trHeight w:val="54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امتحان شهري </w:t>
            </w: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امتحان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امتحان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نموذج  اجراءات اقامة دعاوى الحضانة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والعملية</w:t>
            </w:r>
            <w: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نموذج  اجراءات اقامة دعاوى التفريق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اعادة طرح الاسئلة السابقة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والعملية</w:t>
            </w:r>
            <w: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نموذج  اجراءات اقامة دعاوى القتل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الاختبارات الشفوية والتحريرية والعملية</w:t>
            </w:r>
            <w: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نموذج  اجراءات اقامة دعاوى السرقة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 والعملية</w:t>
            </w:r>
            <w: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نموذج اجراءات اقامة دعاوى التزوير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والعملية</w:t>
            </w:r>
            <w:r>
              <w:t>.</w:t>
            </w:r>
          </w:p>
        </w:tc>
      </w:tr>
      <w:tr w:rsidR="003D33D1" w:rsidTr="008F3350">
        <w:trPr>
          <w:trHeight w:val="181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نموذج اجراءات اقامة دعاوى الالغاء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tabs>
                <w:tab w:val="left" w:pos="642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اعادة طرح الاسئلة السابقة والاجابة عليها</w:t>
            </w:r>
          </w:p>
          <w:p w:rsidR="003D33D1" w:rsidRDefault="00013D7D">
            <w:pPr>
              <w:shd w:val="clear" w:color="auto" w:fill="FFFFFF"/>
              <w:spacing w:before="240" w:after="240" w:line="349" w:lineRule="auto"/>
              <w:ind w:right="37" w:hanging="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الاختبارات الشفوية والتحريرية</w:t>
            </w:r>
            <w: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والعملية</w:t>
            </w:r>
            <w:r>
              <w:t>.</w:t>
            </w:r>
          </w:p>
        </w:tc>
      </w:tr>
      <w:tr w:rsidR="003D33D1" w:rsidTr="008F3350">
        <w:trPr>
          <w:trHeight w:val="638"/>
          <w:jc w:val="center"/>
        </w:trPr>
        <w:tc>
          <w:tcPr>
            <w:tcW w:w="900" w:type="dxa"/>
            <w:vAlign w:val="center"/>
          </w:tcPr>
          <w:p w:rsidR="003D33D1" w:rsidRDefault="00013D7D">
            <w:pPr>
              <w:shd w:val="clear" w:color="auto" w:fill="FFFFFF"/>
              <w:ind w:left="1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3D33D1" w:rsidRDefault="000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2268" w:type="dxa"/>
            <w:vAlign w:val="center"/>
          </w:tcPr>
          <w:p w:rsidR="003D33D1" w:rsidRDefault="00013D7D">
            <w:pPr>
              <w:shd w:val="clear" w:color="auto" w:fill="FFFFFF"/>
              <w:ind w:left="1" w:right="112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امتحان شهري </w:t>
            </w: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امتحان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D33D1" w:rsidRDefault="00013D7D">
            <w:pPr>
              <w:shd w:val="clear" w:color="auto" w:fill="FFFFFF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امتحان</w:t>
            </w:r>
          </w:p>
        </w:tc>
      </w:tr>
      <w:tr w:rsidR="003D33D1" w:rsidTr="008F3350">
        <w:trPr>
          <w:jc w:val="center"/>
        </w:trPr>
        <w:tc>
          <w:tcPr>
            <w:tcW w:w="10733" w:type="dxa"/>
            <w:gridSpan w:val="6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تقييم المقرر</w:t>
            </w:r>
          </w:p>
        </w:tc>
      </w:tr>
      <w:tr w:rsidR="003D33D1" w:rsidTr="008F3350">
        <w:trPr>
          <w:jc w:val="center"/>
        </w:trPr>
        <w:tc>
          <w:tcPr>
            <w:tcW w:w="10733" w:type="dxa"/>
            <w:gridSpan w:val="6"/>
          </w:tcPr>
          <w:p w:rsidR="003D33D1" w:rsidRDefault="003D33D1">
            <w:pPr>
              <w:ind w:firstLine="0"/>
              <w:jc w:val="left"/>
              <w:rPr>
                <w:sz w:val="24"/>
                <w:szCs w:val="24"/>
              </w:rPr>
            </w:pPr>
          </w:p>
          <w:p w:rsidR="003D33D1" w:rsidRDefault="00013D7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20 %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امتحانات نصف الكورس ، </w:t>
            </w:r>
            <w:r>
              <w:rPr>
                <w:b/>
                <w:sz w:val="24"/>
                <w:szCs w:val="24"/>
                <w:rtl/>
              </w:rPr>
              <w:t xml:space="preserve">20 %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الواجبات والتحضير اليومي ، </w:t>
            </w:r>
            <w:r>
              <w:rPr>
                <w:b/>
                <w:sz w:val="24"/>
                <w:szCs w:val="24"/>
                <w:rtl/>
              </w:rPr>
              <w:t xml:space="preserve">60 %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الامتحان النهائي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3D33D1" w:rsidRDefault="003D33D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33D1" w:rsidTr="008F3350">
        <w:trPr>
          <w:jc w:val="center"/>
        </w:trPr>
        <w:tc>
          <w:tcPr>
            <w:tcW w:w="10733" w:type="dxa"/>
            <w:gridSpan w:val="6"/>
            <w:shd w:val="clear" w:color="auto" w:fill="DEEAF6"/>
          </w:tcPr>
          <w:p w:rsidR="003D33D1" w:rsidRDefault="00013D7D">
            <w:pPr>
              <w:numPr>
                <w:ilvl w:val="0"/>
                <w:numId w:val="1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مصادر التعلم والتدريس</w:t>
            </w:r>
          </w:p>
        </w:tc>
      </w:tr>
      <w:tr w:rsidR="003D33D1" w:rsidTr="008F3350">
        <w:trPr>
          <w:jc w:val="center"/>
        </w:trPr>
        <w:tc>
          <w:tcPr>
            <w:tcW w:w="10733" w:type="dxa"/>
            <w:gridSpan w:val="6"/>
          </w:tcPr>
          <w:p w:rsidR="003D33D1" w:rsidRDefault="003D33D1">
            <w:pPr>
              <w:ind w:right="-426" w:firstLine="0"/>
              <w:jc w:val="both"/>
              <w:rPr>
                <w:sz w:val="24"/>
                <w:szCs w:val="24"/>
              </w:rPr>
            </w:pPr>
          </w:p>
          <w:p w:rsidR="003D33D1" w:rsidRDefault="00013D7D">
            <w:pPr>
              <w:ind w:right="-426"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العيادة القانونية ودورها في تطوير التعليم القانوني </w:t>
            </w:r>
            <w:r>
              <w:rPr>
                <w:b/>
                <w:sz w:val="28"/>
                <w:szCs w:val="28"/>
                <w:rtl/>
              </w:rPr>
              <w:t>(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</w:t>
            </w:r>
            <w:r>
              <w:rPr>
                <w:b/>
                <w:sz w:val="28"/>
                <w:szCs w:val="28"/>
                <w:rtl/>
              </w:rPr>
              <w:t xml:space="preserve">.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د</w:t>
            </w:r>
            <w:r>
              <w:rPr>
                <w:b/>
                <w:sz w:val="28"/>
                <w:szCs w:val="28"/>
                <w:rtl/>
              </w:rPr>
              <w:t xml:space="preserve">.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محمد بن طلحة</w:t>
            </w:r>
            <w:r>
              <w:rPr>
                <w:b/>
                <w:sz w:val="28"/>
                <w:szCs w:val="28"/>
                <w:rtl/>
              </w:rPr>
              <w:t>)</w:t>
            </w:r>
          </w:p>
        </w:tc>
      </w:tr>
      <w:tr w:rsidR="003D33D1" w:rsidTr="008F3350">
        <w:trPr>
          <w:jc w:val="center"/>
        </w:trPr>
        <w:tc>
          <w:tcPr>
            <w:tcW w:w="10733" w:type="dxa"/>
            <w:gridSpan w:val="6"/>
          </w:tcPr>
          <w:p w:rsidR="003D33D1" w:rsidRDefault="003D33D1">
            <w:pPr>
              <w:ind w:right="-426" w:hanging="2"/>
              <w:jc w:val="both"/>
              <w:rPr>
                <w:sz w:val="24"/>
                <w:szCs w:val="24"/>
              </w:rPr>
            </w:pPr>
          </w:p>
          <w:p w:rsidR="003D33D1" w:rsidRDefault="003D33D1">
            <w:pPr>
              <w:ind w:right="-426" w:firstLine="0"/>
              <w:jc w:val="both"/>
              <w:rPr>
                <w:sz w:val="24"/>
                <w:szCs w:val="24"/>
              </w:rPr>
            </w:pPr>
          </w:p>
          <w:p w:rsidR="003D33D1" w:rsidRDefault="00013D7D">
            <w:pPr>
              <w:ind w:left="1" w:right="-426" w:hanging="3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الكتب والمراجع التي يوصى بها                 </w:t>
            </w:r>
            <w:r>
              <w:rPr>
                <w:b/>
                <w:sz w:val="28"/>
                <w:szCs w:val="28"/>
                <w:rtl/>
              </w:rPr>
              <w:t xml:space="preserve">(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المجلات العلمية ، التقارير</w:t>
            </w:r>
            <w:r>
              <w:rPr>
                <w:b/>
                <w:sz w:val="28"/>
                <w:szCs w:val="28"/>
                <w:rtl/>
              </w:rPr>
              <w:t>....  )</w:t>
            </w:r>
          </w:p>
        </w:tc>
      </w:tr>
      <w:tr w:rsidR="003D33D1" w:rsidTr="008F3350">
        <w:trPr>
          <w:jc w:val="center"/>
        </w:trPr>
        <w:tc>
          <w:tcPr>
            <w:tcW w:w="10733" w:type="dxa"/>
            <w:gridSpan w:val="6"/>
          </w:tcPr>
          <w:p w:rsidR="003D33D1" w:rsidRDefault="00013D7D">
            <w:pPr>
              <w:ind w:hanging="2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الساندة التي يوصى بها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العلمية، التقارير </w:t>
            </w:r>
            <w:r>
              <w:rPr>
                <w:b/>
                <w:sz w:val="24"/>
                <w:szCs w:val="24"/>
                <w:rtl/>
              </w:rPr>
              <w:t>..)</w:t>
            </w:r>
          </w:p>
        </w:tc>
      </w:tr>
      <w:tr w:rsidR="003D33D1" w:rsidTr="008F3350">
        <w:trPr>
          <w:jc w:val="center"/>
        </w:trPr>
        <w:tc>
          <w:tcPr>
            <w:tcW w:w="10733" w:type="dxa"/>
            <w:gridSpan w:val="6"/>
          </w:tcPr>
          <w:p w:rsidR="003D33D1" w:rsidRDefault="00013D7D">
            <w:pPr>
              <w:ind w:right="-426" w:hanging="2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المراجع الالكترونية، مواقع الانترنيت المتخصصة</w:t>
            </w:r>
          </w:p>
        </w:tc>
      </w:tr>
    </w:tbl>
    <w:p w:rsidR="003D33D1" w:rsidRDefault="003D33D1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3D33D1" w:rsidRDefault="003D33D1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3D33D1" w:rsidRDefault="003D33D1">
      <w:pPr>
        <w:shd w:val="clear" w:color="auto" w:fill="FFFFFF"/>
        <w:spacing w:before="240" w:after="200"/>
        <w:ind w:left="1" w:right="-426" w:hanging="3"/>
        <w:jc w:val="both"/>
        <w:rPr>
          <w:sz w:val="28"/>
          <w:szCs w:val="28"/>
        </w:rPr>
      </w:pPr>
    </w:p>
    <w:p w:rsidR="003D33D1" w:rsidRDefault="003D33D1">
      <w:pPr>
        <w:shd w:val="clear" w:color="auto" w:fill="FFFFFF"/>
        <w:ind w:hanging="2"/>
        <w:jc w:val="left"/>
      </w:pPr>
    </w:p>
    <w:p w:rsidR="003D33D1" w:rsidRDefault="003D33D1">
      <w:pPr>
        <w:shd w:val="clear" w:color="auto" w:fill="FFFFFF"/>
        <w:ind w:hanging="2"/>
        <w:jc w:val="left"/>
      </w:pPr>
    </w:p>
    <w:p w:rsidR="003D33D1" w:rsidRDefault="003D33D1">
      <w:pPr>
        <w:shd w:val="clear" w:color="auto" w:fill="FFFFFF"/>
        <w:spacing w:after="240"/>
        <w:ind w:hanging="2"/>
        <w:jc w:val="left"/>
        <w:rPr>
          <w:sz w:val="24"/>
          <w:szCs w:val="24"/>
        </w:rPr>
      </w:pPr>
    </w:p>
    <w:sectPr w:rsidR="003D3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7D" w:rsidRDefault="00013D7D">
      <w:r>
        <w:separator/>
      </w:r>
    </w:p>
  </w:endnote>
  <w:endnote w:type="continuationSeparator" w:id="0">
    <w:p w:rsidR="00013D7D" w:rsidRDefault="0001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1" w:rsidRDefault="003D33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1" w:rsidRDefault="003D33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left"/>
      <w:rPr>
        <w:color w:val="000000"/>
      </w:rPr>
    </w:pPr>
  </w:p>
  <w:tbl>
    <w:tblPr>
      <w:tblStyle w:val="a6"/>
      <w:tblpPr w:leftFromText="187" w:rightFromText="187" w:vertAnchor="text" w:tblpY="1"/>
      <w:bidiVisual/>
      <w:tblW w:w="11161" w:type="dxa"/>
      <w:tblInd w:w="-108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3D33D1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3D33D1" w:rsidRDefault="003D33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 w:val="restart"/>
          <w:vAlign w:val="center"/>
        </w:tcPr>
        <w:p w:rsidR="003D33D1" w:rsidRDefault="00013D7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 w:rsidR="008F3350">
            <w:rPr>
              <w:rFonts w:ascii="Calibri" w:eastAsia="Calibri" w:hAnsi="Calibri" w:cs="Calibri"/>
            </w:rPr>
            <w:fldChar w:fldCharType="separate"/>
          </w:r>
          <w:r w:rsidR="008F3350">
            <w:rPr>
              <w:rFonts w:ascii="Calibri" w:eastAsia="Calibri" w:hAnsi="Calibri" w:cs="Calibri"/>
              <w:noProof/>
              <w:rtl/>
            </w:rPr>
            <w:t>1</w:t>
          </w:r>
          <w:r>
            <w:rPr>
              <w:rFonts w:ascii="Calibri" w:eastAsia="Calibri" w:hAnsi="Calibri" w:cs="Calibri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3D33D1" w:rsidRDefault="003D33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  <w:tr w:rsidR="003D33D1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3D33D1" w:rsidRDefault="003D33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  <w:tc>
        <w:tcPr>
          <w:tcW w:w="1116" w:type="dxa"/>
          <w:vMerge/>
          <w:vAlign w:val="center"/>
        </w:tcPr>
        <w:p w:rsidR="003D33D1" w:rsidRDefault="003D33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jc w:val="left"/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3D33D1" w:rsidRDefault="003D33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2"/>
            <w:jc w:val="left"/>
          </w:pPr>
        </w:p>
      </w:tc>
    </w:tr>
  </w:tbl>
  <w:p w:rsidR="003D33D1" w:rsidRDefault="003D33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1" w:rsidRDefault="003D33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7D" w:rsidRDefault="00013D7D">
      <w:r>
        <w:separator/>
      </w:r>
    </w:p>
  </w:footnote>
  <w:footnote w:type="continuationSeparator" w:id="0">
    <w:p w:rsidR="00013D7D" w:rsidRDefault="0001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1" w:rsidRDefault="003D33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1" w:rsidRDefault="003D33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1" w:rsidRDefault="003D33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413"/>
    <w:multiLevelType w:val="multilevel"/>
    <w:tmpl w:val="D48EC4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33D1"/>
    <w:rsid w:val="00013D7D"/>
    <w:rsid w:val="003D33D1"/>
    <w:rsid w:val="008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a4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a7">
    <w:name w:val="Balloon Text"/>
    <w:basedOn w:val="a"/>
    <w:link w:val="Char"/>
    <w:uiPriority w:val="99"/>
    <w:semiHidden/>
    <w:unhideWhenUsed/>
    <w:rsid w:val="008F335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F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16" w:lineRule="auto"/>
      <w:jc w:val="left"/>
    </w:pPr>
    <w:rPr>
      <w:rFonts w:ascii="Calibri" w:eastAsia="Calibri" w:hAnsi="Calibri" w:cs="Calibri"/>
      <w:color w:val="404040"/>
      <w:sz w:val="56"/>
      <w:szCs w:val="56"/>
    </w:rPr>
  </w:style>
  <w:style w:type="paragraph" w:styleId="a4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6">
    <w:basedOn w:val="TableNormal"/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a7">
    <w:name w:val="Balloon Text"/>
    <w:basedOn w:val="a"/>
    <w:link w:val="Char"/>
    <w:uiPriority w:val="99"/>
    <w:semiHidden/>
    <w:unhideWhenUsed/>
    <w:rsid w:val="008F335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F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2</cp:revision>
  <cp:lastPrinted>2024-04-07T10:19:00Z</cp:lastPrinted>
  <dcterms:created xsi:type="dcterms:W3CDTF">2024-04-07T10:17:00Z</dcterms:created>
  <dcterms:modified xsi:type="dcterms:W3CDTF">2024-04-07T10:20:00Z</dcterms:modified>
</cp:coreProperties>
</file>